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b/>
          <w:sz w:val="24"/>
          <w:szCs w:val="24"/>
        </w:rPr>
      </w:pPr>
      <w:r>
        <w:rPr>
          <w:rFonts w:ascii="宋体" w:hAnsi="宋体" w:eastAsia="宋体"/>
          <w:b/>
          <w:sz w:val="24"/>
          <w:szCs w:val="24"/>
        </w:rPr>
        <w:t> </w:t>
      </w:r>
      <w:r>
        <w:rPr>
          <w:rFonts w:hint="eastAsia" w:ascii="宋体" w:hAnsi="宋体" w:eastAsia="宋体"/>
          <w:b/>
          <w:sz w:val="24"/>
          <w:szCs w:val="24"/>
        </w:rPr>
        <w:t>民商法学科简况</w:t>
      </w:r>
    </w:p>
    <w:p>
      <w:pPr>
        <w:spacing w:line="360" w:lineRule="auto"/>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民商法学作为历史悠久的法学学科，在传统教学体系中，是法科学生必须学习的基本课程，在某种程度上，与宪法学一样，是法学体系中的核心。当前，在我国深化改革建设法治国家的形势下，在《民法典》已经初具雏形，《物权法》、《侵权责任法》已经出台，《公司法》、《证券法》、《票据法》、《保险法》、《破产法》日渐完善的背景下，其学科地位更显突出。</w:t>
      </w:r>
    </w:p>
    <w:p>
      <w:pPr>
        <w:spacing w:line="360" w:lineRule="auto"/>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哈尔滨工业大学法学</w:t>
      </w:r>
      <w:r>
        <w:rPr>
          <w:rFonts w:hint="eastAsia" w:ascii="宋体" w:hAnsi="宋体" w:eastAsia="宋体"/>
          <w:sz w:val="24"/>
          <w:szCs w:val="24"/>
          <w:lang w:eastAsia="zh-CN"/>
        </w:rPr>
        <w:t>系</w:t>
      </w:r>
      <w:r>
        <w:rPr>
          <w:rFonts w:hint="eastAsia" w:ascii="宋体" w:hAnsi="宋体" w:eastAsia="宋体"/>
          <w:sz w:val="24"/>
          <w:szCs w:val="24"/>
        </w:rPr>
        <w:t>民商法学科建设肇始于</w:t>
      </w:r>
      <w:r>
        <w:rPr>
          <w:rFonts w:ascii="宋体" w:hAnsi="宋体" w:eastAsia="宋体"/>
          <w:sz w:val="24"/>
          <w:szCs w:val="24"/>
        </w:rPr>
        <w:t>1998</w:t>
      </w:r>
      <w:r>
        <w:rPr>
          <w:rFonts w:hint="eastAsia" w:ascii="宋体" w:hAnsi="宋体" w:eastAsia="宋体"/>
          <w:sz w:val="24"/>
          <w:szCs w:val="24"/>
        </w:rPr>
        <w:t>年法学教研室设立，在多年的教学研究中，已经积累较为丰厚的学术成果，并且形成民商法基础理论、金融服务法、知识产权法等明确稳定的研究方向，教学与研究体系较为完善和成熟，自</w:t>
      </w:r>
      <w:r>
        <w:rPr>
          <w:rFonts w:ascii="宋体" w:hAnsi="宋体" w:eastAsia="宋体"/>
          <w:sz w:val="24"/>
          <w:szCs w:val="24"/>
        </w:rPr>
        <w:t>2014</w:t>
      </w:r>
      <w:r>
        <w:rPr>
          <w:rFonts w:hint="eastAsia" w:ascii="宋体" w:hAnsi="宋体" w:eastAsia="宋体"/>
          <w:sz w:val="24"/>
          <w:szCs w:val="24"/>
        </w:rPr>
        <w:t>年开始招收法学一级学科民商法方向的硕士研究生。</w:t>
      </w:r>
    </w:p>
    <w:p>
      <w:pPr>
        <w:spacing w:line="360" w:lineRule="auto"/>
        <w:rPr>
          <w:rFonts w:ascii="宋体" w:hAnsi="宋体" w:eastAsia="宋体"/>
          <w:b/>
          <w:sz w:val="24"/>
          <w:szCs w:val="24"/>
        </w:rPr>
      </w:pPr>
      <w:r>
        <w:rPr>
          <w:rFonts w:hint="eastAsia" w:ascii="宋体" w:hAnsi="宋体" w:eastAsia="宋体"/>
          <w:b/>
          <w:sz w:val="24"/>
          <w:szCs w:val="24"/>
        </w:rPr>
        <w:t>一、民商法基础理论方向</w:t>
      </w:r>
    </w:p>
    <w:p>
      <w:pPr>
        <w:spacing w:line="360" w:lineRule="auto"/>
        <w:ind w:firstLine="31680" w:firstLineChars="200"/>
        <w:rPr>
          <w:rFonts w:ascii="宋体" w:hAnsi="宋体" w:eastAsia="宋体"/>
          <w:sz w:val="24"/>
          <w:szCs w:val="24"/>
        </w:rPr>
      </w:pPr>
      <w:r>
        <w:rPr>
          <w:rFonts w:hint="eastAsia" w:ascii="宋体" w:hAnsi="宋体" w:eastAsia="宋体"/>
          <w:sz w:val="24"/>
          <w:szCs w:val="24"/>
        </w:rPr>
        <w:t>该方向主要研究社会主义市场经济条件下有关民商法学理论、民商事立法的完善和民商法的准确适用问题。可以细化为两大分支：（</w:t>
      </w:r>
      <w:r>
        <w:rPr>
          <w:rFonts w:ascii="宋体" w:hAnsi="宋体" w:eastAsia="宋体"/>
          <w:sz w:val="24"/>
          <w:szCs w:val="24"/>
        </w:rPr>
        <w:t>1</w:t>
      </w:r>
      <w:r>
        <w:rPr>
          <w:rFonts w:hint="eastAsia" w:ascii="宋体" w:hAnsi="宋体" w:eastAsia="宋体"/>
          <w:sz w:val="24"/>
          <w:szCs w:val="24"/>
        </w:rPr>
        <w:t>）民法学，其中包括民法总论、物权法、债权法、亲属法、继承法。主要研究民法领域内重大理论问题，比较中外民法制度的异同，研究民法典起草中的疑难问题，为我国民法典制定提供理论上的支持；（</w:t>
      </w:r>
      <w:r>
        <w:rPr>
          <w:rFonts w:ascii="宋体" w:hAnsi="宋体" w:eastAsia="宋体"/>
          <w:sz w:val="24"/>
          <w:szCs w:val="24"/>
        </w:rPr>
        <w:t>2</w:t>
      </w:r>
      <w:r>
        <w:rPr>
          <w:rFonts w:hint="eastAsia" w:ascii="宋体" w:hAnsi="宋体" w:eastAsia="宋体"/>
          <w:sz w:val="24"/>
          <w:szCs w:val="24"/>
        </w:rPr>
        <w:t>）商法学，其中包括商法总论、公司法、证券法、破产法、保险法等。主要研究商法基础理论和具体制度，研究市场经济下商法价值的重新定位，具体分析各类商事制度，比较国内外商法的差异，为中国商法的完善提供理论支撑。</w:t>
      </w:r>
    </w:p>
    <w:p>
      <w:pPr>
        <w:spacing w:line="360" w:lineRule="auto"/>
        <w:rPr>
          <w:rFonts w:ascii="宋体" w:hAnsi="宋体" w:eastAsia="宋体"/>
          <w:b/>
          <w:sz w:val="24"/>
          <w:szCs w:val="24"/>
        </w:rPr>
      </w:pPr>
      <w:r>
        <w:rPr>
          <w:rFonts w:hint="eastAsia" w:ascii="宋体" w:hAnsi="宋体" w:eastAsia="宋体"/>
          <w:b/>
          <w:sz w:val="24"/>
          <w:szCs w:val="24"/>
        </w:rPr>
        <w:t>二、金融服务法方向</w:t>
      </w:r>
    </w:p>
    <w:p>
      <w:pPr>
        <w:spacing w:line="360" w:lineRule="auto"/>
        <w:ind w:firstLine="31680" w:firstLineChars="200"/>
        <w:rPr>
          <w:rFonts w:ascii="宋体" w:hAnsi="宋体" w:eastAsia="宋体"/>
          <w:sz w:val="24"/>
          <w:szCs w:val="24"/>
        </w:rPr>
      </w:pPr>
      <w:r>
        <w:rPr>
          <w:rFonts w:hint="eastAsia" w:ascii="宋体" w:hAnsi="宋体" w:eastAsia="宋体"/>
          <w:sz w:val="24"/>
          <w:szCs w:val="24"/>
        </w:rPr>
        <w:t>该方向主要研究资本市场统合趋势下中国金融服务法的构建与路径选择。在金融危机转化为经济危机并进一步影响各国经济体系的背景下，中国资本市场法律制度面临着严峻的困难与挑战，该方向以中国金融服务法的立法构想为目的，通过对各国金融服务法律制度的比较分析，围绕全球金融法制变革中以金融消费者权利保护为核心这一主线，构建适合中国资本市场实践需要的金融服务法，完善我国的金融法治。</w:t>
      </w:r>
    </w:p>
    <w:p>
      <w:pPr>
        <w:spacing w:line="360" w:lineRule="auto"/>
        <w:ind w:firstLine="31680" w:firstLineChars="200"/>
        <w:rPr>
          <w:rFonts w:ascii="宋体" w:hAnsi="宋体" w:eastAsia="宋体"/>
          <w:sz w:val="24"/>
          <w:szCs w:val="24"/>
        </w:rPr>
      </w:pPr>
    </w:p>
    <w:p>
      <w:pPr>
        <w:spacing w:line="360" w:lineRule="auto"/>
        <w:rPr>
          <w:rFonts w:ascii="宋体" w:hAnsi="宋体" w:eastAsia="宋体"/>
          <w:b/>
          <w:sz w:val="24"/>
          <w:szCs w:val="24"/>
        </w:rPr>
      </w:pPr>
      <w:r>
        <w:rPr>
          <w:rFonts w:hint="eastAsia" w:ascii="宋体" w:hAnsi="宋体" w:eastAsia="宋体"/>
          <w:b/>
          <w:sz w:val="24"/>
          <w:szCs w:val="24"/>
        </w:rPr>
        <w:t>三、知识产权法方向</w:t>
      </w:r>
    </w:p>
    <w:p>
      <w:pPr>
        <w:spacing w:line="360" w:lineRule="auto"/>
        <w:ind w:firstLine="31680" w:firstLineChars="200"/>
        <w:rPr>
          <w:rFonts w:ascii="宋体" w:hAnsi="宋体" w:eastAsia="宋体"/>
          <w:color w:val="000000"/>
          <w:sz w:val="24"/>
          <w:szCs w:val="24"/>
        </w:rPr>
      </w:pPr>
      <w:r>
        <w:rPr>
          <w:rFonts w:hint="eastAsia" w:ascii="宋体" w:hAnsi="宋体" w:eastAsia="宋体"/>
          <w:color w:val="000000"/>
          <w:sz w:val="24"/>
          <w:szCs w:val="24"/>
        </w:rPr>
        <w:t>该方向主要研究知识产权法基础理论、知识产权立法完善和知识产权适用问题。以国家知识产权战略为基本精神，紧密结合我国立法司法实践，遵循科技进步与知识产权法制的客观规律，该方向具体展开以下研究：</w:t>
      </w:r>
      <w:r>
        <w:rPr>
          <w:rFonts w:hint="eastAsia"/>
          <w:color w:val="000000"/>
          <w:sz w:val="24"/>
          <w:szCs w:val="24"/>
        </w:rPr>
        <w:t>（</w:t>
      </w:r>
      <w:r>
        <w:rPr>
          <w:color w:val="000000"/>
          <w:sz w:val="24"/>
          <w:szCs w:val="24"/>
        </w:rPr>
        <w:t>1</w:t>
      </w:r>
      <w:r>
        <w:rPr>
          <w:rFonts w:hint="eastAsia"/>
          <w:color w:val="000000"/>
          <w:sz w:val="24"/>
          <w:szCs w:val="24"/>
        </w:rPr>
        <w:t>）基本理念，包括</w:t>
      </w:r>
      <w:r>
        <w:rPr>
          <w:rFonts w:hint="eastAsia"/>
          <w:bCs/>
          <w:color w:val="000000"/>
          <w:sz w:val="24"/>
          <w:szCs w:val="24"/>
        </w:rPr>
        <w:t>知识产权法</w:t>
      </w:r>
      <w:r>
        <w:rPr>
          <w:rFonts w:hint="eastAsia"/>
          <w:color w:val="000000"/>
          <w:sz w:val="24"/>
          <w:szCs w:val="24"/>
        </w:rPr>
        <w:t>的法律价值、法律原则、法律功能等；（</w:t>
      </w:r>
      <w:r>
        <w:rPr>
          <w:color w:val="000000"/>
          <w:sz w:val="24"/>
          <w:szCs w:val="24"/>
        </w:rPr>
        <w:t>2</w:t>
      </w:r>
      <w:r>
        <w:rPr>
          <w:rFonts w:hint="eastAsia"/>
          <w:color w:val="000000"/>
          <w:sz w:val="24"/>
          <w:szCs w:val="24"/>
        </w:rPr>
        <w:t>）具体规范，包括</w:t>
      </w:r>
      <w:r>
        <w:rPr>
          <w:rFonts w:hint="eastAsia"/>
          <w:bCs/>
          <w:color w:val="000000"/>
          <w:sz w:val="24"/>
          <w:szCs w:val="24"/>
        </w:rPr>
        <w:t>知识产权</w:t>
      </w:r>
      <w:r>
        <w:rPr>
          <w:rFonts w:hint="eastAsia"/>
          <w:color w:val="000000"/>
          <w:sz w:val="24"/>
          <w:szCs w:val="24"/>
        </w:rPr>
        <w:t>法律制度、法律规则等；（</w:t>
      </w:r>
      <w:r>
        <w:rPr>
          <w:color w:val="000000"/>
          <w:sz w:val="24"/>
          <w:szCs w:val="24"/>
        </w:rPr>
        <w:t>3</w:t>
      </w:r>
      <w:r>
        <w:rPr>
          <w:rFonts w:hint="eastAsia"/>
          <w:color w:val="000000"/>
          <w:sz w:val="24"/>
          <w:szCs w:val="24"/>
        </w:rPr>
        <w:t>）司法实践，包括</w:t>
      </w:r>
      <w:r>
        <w:rPr>
          <w:rFonts w:hint="eastAsia"/>
          <w:bCs/>
          <w:color w:val="000000"/>
          <w:sz w:val="24"/>
          <w:szCs w:val="24"/>
        </w:rPr>
        <w:t>知识产权</w:t>
      </w:r>
      <w:r>
        <w:rPr>
          <w:rFonts w:hint="eastAsia"/>
          <w:color w:val="000000"/>
          <w:sz w:val="24"/>
          <w:szCs w:val="24"/>
        </w:rPr>
        <w:t>法律解释、法律适用等。</w:t>
      </w:r>
    </w:p>
    <w:p>
      <w:pPr>
        <w:spacing w:line="360" w:lineRule="auto"/>
        <w:ind w:firstLine="31680" w:firstLineChars="200"/>
        <w:rPr>
          <w:rFonts w:ascii="宋体" w:hAnsi="宋体" w:eastAsia="宋体"/>
          <w:color w:val="000000"/>
          <w:sz w:val="24"/>
          <w:szCs w:val="24"/>
        </w:rPr>
      </w:pPr>
      <w:r>
        <w:rPr>
          <w:rFonts w:hint="eastAsia" w:ascii="宋体" w:hAnsi="宋体" w:eastAsia="宋体"/>
          <w:color w:val="000000"/>
          <w:sz w:val="24"/>
          <w:szCs w:val="24"/>
        </w:rPr>
        <w:t>经过</w:t>
      </w:r>
      <w:r>
        <w:rPr>
          <w:rFonts w:ascii="宋体" w:hAnsi="宋体" w:eastAsia="宋体"/>
          <w:color w:val="000000"/>
          <w:sz w:val="24"/>
          <w:szCs w:val="24"/>
        </w:rPr>
        <w:t>10</w:t>
      </w:r>
      <w:r>
        <w:rPr>
          <w:rFonts w:hint="eastAsia" w:ascii="宋体" w:hAnsi="宋体" w:eastAsia="宋体"/>
          <w:color w:val="000000"/>
          <w:sz w:val="24"/>
          <w:szCs w:val="24"/>
        </w:rPr>
        <w:t>多年的努力，民商法学现已具有一支教学水平高、科研能力强、年龄结构合理、发展后劲足的高素质教师队伍。本学科现有教授</w:t>
      </w:r>
      <w:r>
        <w:rPr>
          <w:rFonts w:ascii="宋体" w:hAnsi="宋体" w:eastAsia="宋体"/>
          <w:color w:val="000000"/>
          <w:sz w:val="24"/>
          <w:szCs w:val="24"/>
        </w:rPr>
        <w:t>1</w:t>
      </w:r>
      <w:r>
        <w:rPr>
          <w:rFonts w:hint="eastAsia" w:ascii="宋体" w:hAnsi="宋体" w:eastAsia="宋体"/>
          <w:color w:val="000000"/>
          <w:sz w:val="24"/>
          <w:szCs w:val="24"/>
        </w:rPr>
        <w:t>人、副教授</w:t>
      </w:r>
      <w:r>
        <w:rPr>
          <w:rFonts w:ascii="宋体" w:hAnsi="宋体" w:eastAsia="宋体"/>
          <w:color w:val="000000"/>
          <w:sz w:val="24"/>
          <w:szCs w:val="24"/>
        </w:rPr>
        <w:t>6</w:t>
      </w:r>
      <w:r>
        <w:rPr>
          <w:rFonts w:hint="eastAsia" w:ascii="宋体" w:hAnsi="宋体" w:eastAsia="宋体"/>
          <w:color w:val="000000"/>
          <w:sz w:val="24"/>
          <w:szCs w:val="24"/>
        </w:rPr>
        <w:t>人、讲师</w:t>
      </w:r>
      <w:r>
        <w:rPr>
          <w:rFonts w:ascii="宋体" w:hAnsi="宋体" w:eastAsia="宋体"/>
          <w:color w:val="000000"/>
          <w:sz w:val="24"/>
          <w:szCs w:val="24"/>
        </w:rPr>
        <w:t>5</w:t>
      </w:r>
      <w:r>
        <w:rPr>
          <w:rFonts w:hint="eastAsia" w:ascii="宋体" w:hAnsi="宋体" w:eastAsia="宋体"/>
          <w:color w:val="000000"/>
          <w:sz w:val="24"/>
          <w:szCs w:val="24"/>
        </w:rPr>
        <w:t>人，其中博士</w:t>
      </w:r>
      <w:r>
        <w:rPr>
          <w:rFonts w:ascii="宋体" w:hAnsi="宋体" w:eastAsia="宋体"/>
          <w:color w:val="000000"/>
          <w:sz w:val="24"/>
          <w:szCs w:val="24"/>
        </w:rPr>
        <w:t>5</w:t>
      </w:r>
      <w:r>
        <w:rPr>
          <w:rFonts w:hint="eastAsia" w:ascii="宋体" w:hAnsi="宋体" w:eastAsia="宋体"/>
          <w:color w:val="000000"/>
          <w:sz w:val="24"/>
          <w:szCs w:val="24"/>
        </w:rPr>
        <w:t>人，目前开设民法、知识产权法、商法、合同法、物权法、亲属法等</w:t>
      </w:r>
      <w:r>
        <w:rPr>
          <w:rFonts w:ascii="宋体" w:hAnsi="宋体" w:eastAsia="宋体"/>
          <w:color w:val="000000"/>
          <w:sz w:val="24"/>
          <w:szCs w:val="24"/>
        </w:rPr>
        <w:t>10</w:t>
      </w:r>
      <w:r>
        <w:rPr>
          <w:rFonts w:hint="eastAsia" w:ascii="宋体" w:hAnsi="宋体" w:eastAsia="宋体"/>
          <w:color w:val="000000"/>
          <w:sz w:val="24"/>
          <w:szCs w:val="24"/>
        </w:rPr>
        <w:t>余门课程，并担任学校公选课中知识产权法基础课程教学；</w:t>
      </w:r>
      <w:r>
        <w:rPr>
          <w:rFonts w:hint="eastAsia"/>
          <w:color w:val="000000"/>
          <w:sz w:val="24"/>
          <w:szCs w:val="24"/>
        </w:rPr>
        <w:t>已出版专著与主编著作近十部，发表学术论文数十篇，主持和参与省部级课题十余项，并获得多项奖励。</w:t>
      </w:r>
      <w:r>
        <w:rPr>
          <w:rFonts w:hint="eastAsia" w:ascii="宋体" w:hAnsi="宋体" w:eastAsia="宋体"/>
          <w:color w:val="000000"/>
          <w:sz w:val="24"/>
          <w:szCs w:val="24"/>
        </w:rPr>
        <w:t>本学科设有</w:t>
      </w:r>
      <w:r>
        <w:rPr>
          <w:rFonts w:ascii="宋体" w:hAnsi="宋体" w:eastAsia="宋体"/>
          <w:color w:val="000000"/>
          <w:sz w:val="24"/>
          <w:szCs w:val="24"/>
        </w:rPr>
        <w:t>1</w:t>
      </w:r>
      <w:r>
        <w:rPr>
          <w:rFonts w:hint="eastAsia" w:ascii="宋体" w:hAnsi="宋体" w:eastAsia="宋体"/>
          <w:color w:val="000000"/>
          <w:sz w:val="24"/>
          <w:szCs w:val="24"/>
        </w:rPr>
        <w:t>个研究所</w:t>
      </w:r>
      <w:r>
        <w:rPr>
          <w:rFonts w:ascii="宋体" w:hAnsi="宋体" w:eastAsia="宋体"/>
          <w:color w:val="000000"/>
          <w:sz w:val="24"/>
          <w:szCs w:val="24"/>
        </w:rPr>
        <w:t>——</w:t>
      </w:r>
      <w:r>
        <w:rPr>
          <w:rFonts w:hint="eastAsia" w:ascii="宋体" w:hAnsi="宋体" w:eastAsia="宋体"/>
          <w:color w:val="000000"/>
          <w:sz w:val="24"/>
          <w:szCs w:val="24"/>
        </w:rPr>
        <w:t>哈尔滨工业大学私法研究所，</w:t>
      </w:r>
      <w:r>
        <w:rPr>
          <w:rFonts w:ascii="宋体" w:hAnsi="宋体" w:eastAsia="宋体"/>
          <w:color w:val="000000"/>
          <w:sz w:val="24"/>
          <w:szCs w:val="24"/>
        </w:rPr>
        <w:t>1</w:t>
      </w:r>
      <w:r>
        <w:rPr>
          <w:rFonts w:hint="eastAsia" w:ascii="宋体" w:hAnsi="宋体" w:eastAsia="宋体"/>
          <w:color w:val="000000"/>
          <w:sz w:val="24"/>
          <w:szCs w:val="24"/>
        </w:rPr>
        <w:t>个研究中心</w:t>
      </w:r>
      <w:r>
        <w:rPr>
          <w:rFonts w:ascii="宋体" w:hAnsi="宋体" w:eastAsia="宋体"/>
          <w:color w:val="000000"/>
          <w:sz w:val="24"/>
          <w:szCs w:val="24"/>
        </w:rPr>
        <w:t>——</w:t>
      </w:r>
      <w:r>
        <w:rPr>
          <w:rFonts w:hint="eastAsia" w:ascii="宋体" w:hAnsi="宋体" w:eastAsia="宋体"/>
          <w:color w:val="000000"/>
          <w:sz w:val="24"/>
          <w:szCs w:val="24"/>
        </w:rPr>
        <w:t>哈尔滨工业大学法学</w:t>
      </w:r>
      <w:r>
        <w:rPr>
          <w:rFonts w:hint="eastAsia" w:ascii="宋体" w:hAnsi="宋体" w:eastAsia="宋体"/>
          <w:color w:val="000000"/>
          <w:sz w:val="24"/>
          <w:szCs w:val="24"/>
          <w:lang w:eastAsia="zh-CN"/>
        </w:rPr>
        <w:t>系</w:t>
      </w:r>
      <w:bookmarkStart w:id="0" w:name="_GoBack"/>
      <w:bookmarkEnd w:id="0"/>
      <w:r>
        <w:rPr>
          <w:rFonts w:hint="eastAsia" w:ascii="宋体" w:hAnsi="宋体" w:eastAsia="宋体"/>
          <w:color w:val="000000"/>
          <w:sz w:val="24"/>
          <w:szCs w:val="24"/>
        </w:rPr>
        <w:t>知识产权研究中心，同时还聘请法律实务部门专家为特约研究员参与教学与研究。民商法学以高速度、高层次、高水平发展为发展目标，以建设与哈尔滨工业大学相匹配的法学学科为发展方向，努力为国家与本省的法治建设培养高素质的民商法人才。</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4267E"/>
    <w:rsid w:val="00057FBC"/>
    <w:rsid w:val="000618A3"/>
    <w:rsid w:val="00062EE7"/>
    <w:rsid w:val="000A2B82"/>
    <w:rsid w:val="00145E8A"/>
    <w:rsid w:val="00150DC2"/>
    <w:rsid w:val="0016313E"/>
    <w:rsid w:val="00202AFB"/>
    <w:rsid w:val="0022537E"/>
    <w:rsid w:val="00225FB1"/>
    <w:rsid w:val="00323B43"/>
    <w:rsid w:val="00334AF2"/>
    <w:rsid w:val="00356337"/>
    <w:rsid w:val="003802D5"/>
    <w:rsid w:val="003D37D8"/>
    <w:rsid w:val="00404393"/>
    <w:rsid w:val="00414F82"/>
    <w:rsid w:val="00426133"/>
    <w:rsid w:val="004358AB"/>
    <w:rsid w:val="004B49D3"/>
    <w:rsid w:val="005D0E70"/>
    <w:rsid w:val="0064040B"/>
    <w:rsid w:val="006571FD"/>
    <w:rsid w:val="00665FCC"/>
    <w:rsid w:val="00684712"/>
    <w:rsid w:val="006E3D00"/>
    <w:rsid w:val="00760C03"/>
    <w:rsid w:val="0079385D"/>
    <w:rsid w:val="008136CE"/>
    <w:rsid w:val="00863CD1"/>
    <w:rsid w:val="008B7726"/>
    <w:rsid w:val="008C0925"/>
    <w:rsid w:val="008D610C"/>
    <w:rsid w:val="008D71A4"/>
    <w:rsid w:val="008E4C92"/>
    <w:rsid w:val="008E7498"/>
    <w:rsid w:val="008F728D"/>
    <w:rsid w:val="009453D8"/>
    <w:rsid w:val="00A26B63"/>
    <w:rsid w:val="00A82438"/>
    <w:rsid w:val="00AC020F"/>
    <w:rsid w:val="00B3207A"/>
    <w:rsid w:val="00C51D92"/>
    <w:rsid w:val="00C83735"/>
    <w:rsid w:val="00CB07A4"/>
    <w:rsid w:val="00CB3AC5"/>
    <w:rsid w:val="00CC7402"/>
    <w:rsid w:val="00CF54F0"/>
    <w:rsid w:val="00D06480"/>
    <w:rsid w:val="00D31D50"/>
    <w:rsid w:val="00D66800"/>
    <w:rsid w:val="00DA1689"/>
    <w:rsid w:val="00DA6A01"/>
    <w:rsid w:val="00E115D5"/>
    <w:rsid w:val="00F43C9A"/>
    <w:rsid w:val="00F6562E"/>
    <w:rsid w:val="00FF6B45"/>
    <w:rsid w:val="5F330C59"/>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2"/>
    <w:basedOn w:val="1"/>
    <w:next w:val="1"/>
    <w:link w:val="9"/>
    <w:qFormat/>
    <w:locked/>
    <w:uiPriority w:val="99"/>
    <w:pPr>
      <w:adjustRightInd/>
      <w:snapToGrid/>
      <w:spacing w:before="100" w:beforeAutospacing="1" w:after="100" w:afterAutospacing="1"/>
      <w:outlineLvl w:val="1"/>
    </w:pPr>
    <w:rPr>
      <w:rFonts w:ascii="宋体" w:hAnsi="宋体" w:eastAsia="宋体" w:cs="宋体"/>
      <w:b/>
      <w:bCs/>
      <w:sz w:val="36"/>
      <w:szCs w:val="36"/>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iPriority w:val="99"/>
    <w:pPr>
      <w:tabs>
        <w:tab w:val="center" w:pos="4153"/>
        <w:tab w:val="right" w:pos="8306"/>
      </w:tabs>
    </w:pPr>
    <w:rPr>
      <w:sz w:val="18"/>
      <w:szCs w:val="18"/>
    </w:rPr>
  </w:style>
  <w:style w:type="paragraph" w:styleId="4">
    <w:name w:val="header"/>
    <w:basedOn w:val="1"/>
    <w:link w:val="11"/>
    <w:uiPriority w:val="99"/>
    <w:pPr>
      <w:pBdr>
        <w:bottom w:val="single" w:color="auto" w:sz="6" w:space="1"/>
      </w:pBdr>
      <w:tabs>
        <w:tab w:val="center" w:pos="4153"/>
        <w:tab w:val="right" w:pos="8306"/>
      </w:tabs>
      <w:jc w:val="center"/>
    </w:pPr>
    <w:rPr>
      <w:sz w:val="18"/>
      <w:szCs w:val="18"/>
    </w:rPr>
  </w:style>
  <w:style w:type="paragraph" w:styleId="5">
    <w:name w:val="Normal (Web)"/>
    <w:basedOn w:val="1"/>
    <w:uiPriority w:val="99"/>
    <w:pPr>
      <w:adjustRightInd/>
      <w:snapToGrid/>
      <w:spacing w:before="100" w:beforeAutospacing="1" w:after="100" w:afterAutospacing="1" w:line="336" w:lineRule="auto"/>
      <w:ind w:firstLine="360"/>
    </w:pPr>
    <w:rPr>
      <w:rFonts w:ascii="宋体" w:hAnsi="宋体" w:eastAsia="宋体" w:cs="宋体"/>
      <w:sz w:val="24"/>
      <w:szCs w:val="24"/>
    </w:rPr>
  </w:style>
  <w:style w:type="character" w:styleId="7">
    <w:name w:val="Hyperlink"/>
    <w:basedOn w:val="6"/>
    <w:uiPriority w:val="99"/>
    <w:rPr>
      <w:rFonts w:cs="Times New Roman"/>
      <w:color w:val="0000FF"/>
      <w:u w:val="single"/>
    </w:rPr>
  </w:style>
  <w:style w:type="character" w:customStyle="1" w:styleId="9">
    <w:name w:val="Heading 2 Char"/>
    <w:basedOn w:val="6"/>
    <w:link w:val="2"/>
    <w:semiHidden/>
    <w:qFormat/>
    <w:locked/>
    <w:uiPriority w:val="99"/>
    <w:rPr>
      <w:rFonts w:ascii="Cambria" w:hAnsi="Cambria" w:eastAsia="宋体" w:cs="Times New Roman"/>
      <w:b/>
      <w:bCs/>
      <w:kern w:val="0"/>
      <w:sz w:val="32"/>
      <w:szCs w:val="32"/>
    </w:rPr>
  </w:style>
  <w:style w:type="character" w:customStyle="1" w:styleId="10">
    <w:name w:val="apple-converted-space"/>
    <w:basedOn w:val="6"/>
    <w:qFormat/>
    <w:uiPriority w:val="99"/>
    <w:rPr>
      <w:rFonts w:cs="Times New Roman"/>
    </w:rPr>
  </w:style>
  <w:style w:type="character" w:customStyle="1" w:styleId="11">
    <w:name w:val="Header Char"/>
    <w:basedOn w:val="6"/>
    <w:link w:val="4"/>
    <w:semiHidden/>
    <w:locked/>
    <w:uiPriority w:val="99"/>
    <w:rPr>
      <w:rFonts w:ascii="Tahoma" w:hAnsi="Tahoma" w:cs="Times New Roman"/>
      <w:kern w:val="0"/>
      <w:sz w:val="18"/>
      <w:szCs w:val="18"/>
    </w:rPr>
  </w:style>
  <w:style w:type="character" w:customStyle="1" w:styleId="12">
    <w:name w:val="Footer Char"/>
    <w:basedOn w:val="6"/>
    <w:link w:val="3"/>
    <w:semiHidden/>
    <w:qFormat/>
    <w:locked/>
    <w:uiPriority w:val="99"/>
    <w:rPr>
      <w:rFonts w:ascii="Tahoma" w:hAnsi="Tahoma" w:cs="Times New Roman"/>
      <w:kern w:val="0"/>
      <w:sz w:val="18"/>
      <w:szCs w:val="18"/>
    </w:rPr>
  </w:style>
  <w:style w:type="character" w:customStyle="1" w:styleId="13">
    <w:name w:val="headline-1-index"/>
    <w:basedOn w:val="6"/>
    <w:uiPriority w:val="99"/>
    <w:rPr>
      <w:rFonts w:cs="Times New Roman"/>
    </w:rPr>
  </w:style>
  <w:style w:type="character" w:customStyle="1" w:styleId="14">
    <w:name w:val="headline-content"/>
    <w:basedOn w:val="6"/>
    <w:uiPriority w:val="99"/>
    <w:rPr>
      <w:rFonts w:cs="Times New Roman"/>
    </w:rPr>
  </w:style>
  <w:style w:type="character" w:customStyle="1" w:styleId="15">
    <w:name w:val="text_edit editable-title"/>
    <w:basedOn w:val="6"/>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195</Words>
  <Characters>1114</Characters>
  <Lines>0</Lines>
  <Paragraphs>0</Paragraphs>
  <TotalTime>0</TotalTime>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2014-03-18T03:12:00Z</dcterms:created>
  <dc:creator>雨林木风</dc:creator>
  <cp:lastModifiedBy>Administrator</cp:lastModifiedBy>
  <dcterms:modified xsi:type="dcterms:W3CDTF">2016-09-25T05:53:48Z</dcterms:modified>
  <dc:title> 哈尔滨工业大学法学院民商法学科简况</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